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DFC3" w14:textId="77777777" w:rsidR="00E04B18" w:rsidRPr="00E04B18" w:rsidRDefault="00E04B18" w:rsidP="00FA21E4">
      <w:pPr>
        <w:jc w:val="center"/>
        <w:rPr>
          <w:b/>
          <w:bCs/>
          <w:sz w:val="24"/>
          <w:szCs w:val="24"/>
        </w:rPr>
      </w:pPr>
      <w:r w:rsidRPr="00E04B18">
        <w:rPr>
          <w:b/>
          <w:bCs/>
          <w:sz w:val="24"/>
          <w:szCs w:val="24"/>
        </w:rPr>
        <w:t>RECURSO ADMINISTRATIVO CONTRA O GABARITO PRELIMINAR</w:t>
      </w:r>
    </w:p>
    <w:p w14:paraId="5F711514" w14:textId="77777777" w:rsidR="00E04B18" w:rsidRPr="00E04B18" w:rsidRDefault="00E04B18" w:rsidP="00FA21E4">
      <w:pPr>
        <w:jc w:val="center"/>
        <w:rPr>
          <w:sz w:val="24"/>
          <w:szCs w:val="24"/>
        </w:rPr>
      </w:pPr>
      <w:r w:rsidRPr="00E04B18">
        <w:rPr>
          <w:sz w:val="24"/>
          <w:szCs w:val="24"/>
        </w:rPr>
        <w:t>Referente à prova prático-profissional – Direito do Trabalho</w:t>
      </w:r>
    </w:p>
    <w:p w14:paraId="0537CD08" w14:textId="77777777" w:rsidR="00440E0A" w:rsidRDefault="00440E0A" w:rsidP="00AF7983">
      <w:pPr>
        <w:rPr>
          <w:b/>
          <w:bCs/>
        </w:rPr>
      </w:pPr>
    </w:p>
    <w:p w14:paraId="4BDF8BEE" w14:textId="13D24899" w:rsidR="00AF7983" w:rsidRPr="00AF7983" w:rsidRDefault="00AF7983" w:rsidP="00AF7983">
      <w:pPr>
        <w:rPr>
          <w:b/>
          <w:bCs/>
        </w:rPr>
      </w:pPr>
      <w:r w:rsidRPr="00AF7983">
        <w:rPr>
          <w:b/>
          <w:bCs/>
        </w:rPr>
        <w:t>I. SÍNTESE FÁTICA E OBJETO DO RECURSO</w:t>
      </w:r>
    </w:p>
    <w:p w14:paraId="5A080D44" w14:textId="77777777" w:rsidR="00AF7983" w:rsidRPr="00AF7983" w:rsidRDefault="00AF7983" w:rsidP="00AF7983">
      <w:r w:rsidRPr="00AF7983">
        <w:t xml:space="preserve">O(a) examinando(a) apresentou a peça </w:t>
      </w:r>
      <w:r w:rsidRPr="00AF7983">
        <w:rPr>
          <w:b/>
          <w:bCs/>
        </w:rPr>
        <w:t>[especificar: embargos à execução / agravo de petição / mandado de segurança / exceção de pré-executividade]</w:t>
      </w:r>
      <w:r w:rsidRPr="00AF7983">
        <w:t xml:space="preserve"> como medida processual adequada para discutir:</w:t>
      </w:r>
    </w:p>
    <w:p w14:paraId="01F1C173" w14:textId="77777777" w:rsidR="00AF7983" w:rsidRPr="00AF7983" w:rsidRDefault="00AF7983" w:rsidP="00AF7983">
      <w:pPr>
        <w:numPr>
          <w:ilvl w:val="0"/>
          <w:numId w:val="8"/>
        </w:numPr>
      </w:pPr>
      <w:r w:rsidRPr="00AF7983">
        <w:t xml:space="preserve">a </w:t>
      </w:r>
      <w:r w:rsidRPr="00AF7983">
        <w:rPr>
          <w:b/>
          <w:bCs/>
        </w:rPr>
        <w:t>nulidade da citação</w:t>
      </w:r>
      <w:r w:rsidRPr="00AF7983">
        <w:t>, pela ausência de notificação válida da executada, Celina Macedo;</w:t>
      </w:r>
    </w:p>
    <w:p w14:paraId="329700CA" w14:textId="77777777" w:rsidR="00AF7983" w:rsidRPr="00AF7983" w:rsidRDefault="00AF7983" w:rsidP="00AF7983">
      <w:pPr>
        <w:numPr>
          <w:ilvl w:val="0"/>
          <w:numId w:val="8"/>
        </w:numPr>
      </w:pPr>
      <w:r w:rsidRPr="00AF7983">
        <w:t xml:space="preserve">a </w:t>
      </w:r>
      <w:r w:rsidRPr="00AF7983">
        <w:rPr>
          <w:b/>
          <w:bCs/>
        </w:rPr>
        <w:t>impenhorabilidade do único imóvel residencial</w:t>
      </w:r>
      <w:r w:rsidRPr="00AF7983">
        <w:t>, por ser bem de família (Lei nº 8.009/90, art. 1º);</w:t>
      </w:r>
    </w:p>
    <w:p w14:paraId="66061F13" w14:textId="77777777" w:rsidR="00AF7983" w:rsidRPr="00AF7983" w:rsidRDefault="00AF7983" w:rsidP="00AF7983">
      <w:pPr>
        <w:numPr>
          <w:ilvl w:val="0"/>
          <w:numId w:val="8"/>
        </w:numPr>
      </w:pPr>
      <w:r w:rsidRPr="00AF7983">
        <w:t xml:space="preserve">a </w:t>
      </w:r>
      <w:r w:rsidRPr="00AF7983">
        <w:rPr>
          <w:b/>
          <w:bCs/>
        </w:rPr>
        <w:t>impenhorabilidade total ou parcial da aposentadoria</w:t>
      </w:r>
      <w:r w:rsidRPr="00AF7983">
        <w:t xml:space="preserve"> (CPC, art. 833, IV, e art. 529, § 3º), com pedido de </w:t>
      </w:r>
      <w:r w:rsidRPr="00AF7983">
        <w:rPr>
          <w:b/>
          <w:bCs/>
        </w:rPr>
        <w:t>tutela provisória</w:t>
      </w:r>
      <w:r w:rsidRPr="00AF7983">
        <w:t xml:space="preserve"> (CPC, art. 294 e 300);</w:t>
      </w:r>
    </w:p>
    <w:p w14:paraId="13E2F6A5" w14:textId="77777777" w:rsidR="00AF7983" w:rsidRPr="00AF7983" w:rsidRDefault="00AF7983" w:rsidP="00AF7983">
      <w:pPr>
        <w:numPr>
          <w:ilvl w:val="0"/>
          <w:numId w:val="8"/>
        </w:numPr>
      </w:pPr>
      <w:r w:rsidRPr="00AF7983">
        <w:t xml:space="preserve">a </w:t>
      </w:r>
      <w:r w:rsidRPr="00AF7983">
        <w:rPr>
          <w:b/>
          <w:bCs/>
        </w:rPr>
        <w:t>prescrição intercorrente</w:t>
      </w:r>
      <w:r w:rsidRPr="00AF7983">
        <w:t>, em razão da paralisação da execução por mais de dois anos (CLT, art. 11-A e §§);</w:t>
      </w:r>
    </w:p>
    <w:p w14:paraId="7B06E15A" w14:textId="0C22BE33" w:rsidR="00A51583" w:rsidRDefault="00AF7983" w:rsidP="00A51583">
      <w:pPr>
        <w:numPr>
          <w:ilvl w:val="0"/>
          <w:numId w:val="8"/>
        </w:numPr>
      </w:pPr>
      <w:r w:rsidRPr="00AF7983">
        <w:t xml:space="preserve">e, ainda, o deferimento da </w:t>
      </w:r>
      <w:r w:rsidRPr="00AF7983">
        <w:rPr>
          <w:b/>
          <w:bCs/>
        </w:rPr>
        <w:t>justiça gratuita</w:t>
      </w:r>
      <w:r w:rsidRPr="00AF7983">
        <w:t>, com base nos §§ 3º e 4º do art. 790 da CLT.</w:t>
      </w:r>
    </w:p>
    <w:p w14:paraId="4B71CD69" w14:textId="238D33BF" w:rsidR="00A51583" w:rsidRDefault="00A51583" w:rsidP="00A51583">
      <w:r>
        <w:t>Embora o enunciado da prova aponte a Exceção de Pré-Executividade como a via técnica esperada, a própria estrutura fática apresentada, aliada à multiplicidade de fundamentos jurídicos envolvidos, permite a adoção de diversas soluções processualmente válidas.</w:t>
      </w:r>
    </w:p>
    <w:p w14:paraId="24C63ABF" w14:textId="67E21846" w:rsidR="00AF7983" w:rsidRDefault="00A51583" w:rsidP="00A51583">
      <w:r>
        <w:t>Assim, ao exigir do examinando a indicação de apenas uma via processual como correta, a banca incorre em equívoco técnico, ao desconsiderar a pluralidade de medidas cabíveis no caso concreto, o que configura violação aos princípios do devido processo legal (CF, art. 5º, LIV), da ampla defesa (art. 5º, LV) e da segurança jurídica (art. 5º, XXXVI).</w:t>
      </w:r>
    </w:p>
    <w:p w14:paraId="6D72219B" w14:textId="77777777" w:rsidR="00A51583" w:rsidRPr="00AF7983" w:rsidRDefault="00A51583" w:rsidP="00A51583"/>
    <w:p w14:paraId="63C8793E" w14:textId="77777777" w:rsidR="00AF7983" w:rsidRPr="00AF7983" w:rsidRDefault="00AF7983" w:rsidP="00AF7983">
      <w:pPr>
        <w:rPr>
          <w:b/>
          <w:bCs/>
        </w:rPr>
      </w:pPr>
      <w:r w:rsidRPr="00AF7983">
        <w:rPr>
          <w:b/>
          <w:bCs/>
        </w:rPr>
        <w:t>II. DO CABIMENTO DAS DIVERSAS PEÇAS PROCESSUAIS ADMITIDAS</w:t>
      </w:r>
    </w:p>
    <w:p w14:paraId="1CE020C8" w14:textId="77777777" w:rsidR="00AF7983" w:rsidRDefault="00AF7983" w:rsidP="008447B4">
      <w:pPr>
        <w:jc w:val="both"/>
      </w:pPr>
      <w:r w:rsidRPr="00AF7983">
        <w:t>É juridicamente inaceitável a limitação do gabarito a uma única medida, dada a legitimidade das seguintes vias processuais:</w:t>
      </w:r>
    </w:p>
    <w:p w14:paraId="53A004A7" w14:textId="77777777" w:rsidR="0015750A" w:rsidRPr="00AF7983" w:rsidRDefault="0015750A" w:rsidP="008447B4">
      <w:pPr>
        <w:jc w:val="both"/>
      </w:pPr>
    </w:p>
    <w:p w14:paraId="5D5669A7" w14:textId="11DB9FC9" w:rsidR="00AF7983" w:rsidRPr="00AF7983" w:rsidRDefault="00AF7983" w:rsidP="008447B4">
      <w:pPr>
        <w:numPr>
          <w:ilvl w:val="0"/>
          <w:numId w:val="9"/>
        </w:numPr>
        <w:jc w:val="both"/>
      </w:pPr>
      <w:r w:rsidRPr="00AF7983">
        <w:rPr>
          <w:b/>
          <w:bCs/>
        </w:rPr>
        <w:t>Exceção de Pré-Executividade</w:t>
      </w:r>
      <w:r w:rsidRPr="00AF7983">
        <w:t xml:space="preserve"> – Matéria de ordem pública, como impenhorabilidade e nulidade da citação, pode ser arguida sem garantia do juízo</w:t>
      </w:r>
      <w:r w:rsidR="004C0E5B">
        <w:t xml:space="preserve">. </w:t>
      </w:r>
      <w:r w:rsidR="00123D48">
        <w:t xml:space="preserve">Contudo, não há previsão legal, bem como </w:t>
      </w:r>
      <w:r w:rsidR="00071492">
        <w:t>há risco de rejeição irrecorrível nos temos do Tema 144 do TST.</w:t>
      </w:r>
    </w:p>
    <w:p w14:paraId="1CD48772" w14:textId="15D87F1F" w:rsidR="00541D7B" w:rsidRPr="00A01C41" w:rsidRDefault="00AF7983" w:rsidP="002524AF">
      <w:pPr>
        <w:numPr>
          <w:ilvl w:val="0"/>
          <w:numId w:val="9"/>
        </w:numPr>
        <w:jc w:val="both"/>
      </w:pPr>
      <w:r w:rsidRPr="00AF7983">
        <w:rPr>
          <w:b/>
          <w:bCs/>
        </w:rPr>
        <w:t>Embargos à Execução sem garantia do juízo</w:t>
      </w:r>
      <w:r w:rsidRPr="00AF7983">
        <w:t xml:space="preserve"> –</w:t>
      </w:r>
      <w:r w:rsidR="00A01C41" w:rsidRPr="00A01C4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A01C41" w:rsidRPr="00A01C41">
        <w:t xml:space="preserve">Com efeito, as teses abordadas no enunciado referem-se a matérias de ordem pública, passíveis de arguição </w:t>
      </w:r>
      <w:r w:rsidR="007A48A3" w:rsidRPr="00541D7B">
        <w:t>a qualquer tempo e grau de jurisdição (art. 64, § 1º, art. 485, § 3º, e art. 518, todos do CPC),</w:t>
      </w:r>
      <w:r w:rsidR="007A48A3">
        <w:t xml:space="preserve"> </w:t>
      </w:r>
      <w:r w:rsidR="00A01C41" w:rsidRPr="00A01C41">
        <w:t>por simples petição ou até mesmo de ofício pelo juízo</w:t>
      </w:r>
      <w:r w:rsidR="00541D7B" w:rsidRPr="00541D7B">
        <w:t>, circunstância que afasta a necessidade de garantia prévia da execução.</w:t>
      </w:r>
    </w:p>
    <w:p w14:paraId="336254C6" w14:textId="77777777" w:rsidR="001729A6" w:rsidRDefault="00A01C41" w:rsidP="002524AF">
      <w:pPr>
        <w:ind w:left="720"/>
        <w:jc w:val="both"/>
      </w:pPr>
      <w:r w:rsidRPr="00A01C41">
        <w:lastRenderedPageBreak/>
        <w:t xml:space="preserve">Assim, não há qualquer impedimento à apresentação da peça de </w:t>
      </w:r>
      <w:r w:rsidRPr="00A01C41">
        <w:rPr>
          <w:b/>
          <w:bCs/>
        </w:rPr>
        <w:t>embargos à execução</w:t>
      </w:r>
      <w:r w:rsidRPr="00A01C41">
        <w:t xml:space="preserve"> nesse contexto, especialmente diante da prevalência dos princípios do </w:t>
      </w:r>
      <w:r w:rsidRPr="00A01C41">
        <w:rPr>
          <w:b/>
          <w:bCs/>
        </w:rPr>
        <w:t>contraditório</w:t>
      </w:r>
      <w:r w:rsidRPr="00A01C41">
        <w:t xml:space="preserve">, da </w:t>
      </w:r>
      <w:r w:rsidRPr="00A01C41">
        <w:rPr>
          <w:b/>
          <w:bCs/>
        </w:rPr>
        <w:t>ampla defesa</w:t>
      </w:r>
      <w:r w:rsidRPr="00A01C41">
        <w:t xml:space="preserve"> e da </w:t>
      </w:r>
      <w:r w:rsidRPr="00A01C41">
        <w:rPr>
          <w:b/>
          <w:bCs/>
        </w:rPr>
        <w:t>efetividade da tutela jurisdicional</w:t>
      </w:r>
      <w:r w:rsidRPr="00A01C41">
        <w:t>. A jurisprudência pátria tem reiteradamente admitido o cabimento dos embargos sem garantia do juízo quando envolvidas matérias dessa natureza, como a nulidade da citação e a impenhorabilidade de verbas alimentares.</w:t>
      </w:r>
      <w:r>
        <w:t xml:space="preserve"> </w:t>
      </w:r>
    </w:p>
    <w:p w14:paraId="453BAFAA" w14:textId="0D567C4B" w:rsidR="00A01C41" w:rsidRDefault="001729A6" w:rsidP="002524AF">
      <w:pPr>
        <w:ind w:left="720"/>
        <w:jc w:val="both"/>
      </w:pPr>
      <w:r>
        <w:t>Nessa linha, segue a jurisprudência</w:t>
      </w:r>
      <w:r w:rsidR="00A01C41" w:rsidRPr="00A01C41">
        <w:t>:</w:t>
      </w:r>
    </w:p>
    <w:p w14:paraId="4144F85B" w14:textId="0D2C19C7" w:rsidR="00CB4F35" w:rsidRDefault="009D7986" w:rsidP="00440E0A">
      <w:pPr>
        <w:ind w:left="720"/>
        <w:jc w:val="both"/>
      </w:pPr>
      <w:r>
        <w:t xml:space="preserve">GARANTIA DO JUÍZO. MATÉRIA DE ORDEM PÚBLICA. O art. 884, da CLT, condiciona a admissibilidade dos embargos à execução à comprovação da Garantia do Juízo, que constitui pressuposto de constituição e desenvolvimento do processo, sem o qual não é viável, em regra, o prosseguimento da ação incidental de embargos à </w:t>
      </w:r>
      <w:r>
        <w:t>execução.</w:t>
      </w:r>
      <w:r>
        <w:t xml:space="preserve"> </w:t>
      </w:r>
      <w:r w:rsidRPr="009D7986">
        <w:rPr>
          <w:b/>
          <w:bCs/>
        </w:rPr>
        <w:t xml:space="preserve">Travando-se, todavia, discussão acerca de matéria de ordem pública, não há falar em exigência do requisito, sob pena de afronta às garantias constitucionais do contraditório (art. 5.º, LV, da CRFB) e do acesso à justiça (art. </w:t>
      </w:r>
      <w:proofErr w:type="gramStart"/>
      <w:r w:rsidRPr="009D7986">
        <w:rPr>
          <w:b/>
          <w:bCs/>
        </w:rPr>
        <w:t>5 .º</w:t>
      </w:r>
      <w:proofErr w:type="gramEnd"/>
      <w:r w:rsidRPr="009D7986">
        <w:rPr>
          <w:b/>
          <w:bCs/>
        </w:rPr>
        <w:t>, XXXV, da CRFB)</w:t>
      </w:r>
      <w:r>
        <w:t xml:space="preserve"> </w:t>
      </w:r>
      <w:r>
        <w:t>(TRT-1 - AP:0101310632017501053, Relator.: MONICA BATISTA VIEIRA PUGLIA, Data de Julgamento: 14/06/2022, Terceira Turma, Data de Publicação: DEJT 2022-06-28)</w:t>
      </w:r>
    </w:p>
    <w:p w14:paraId="24B2C066" w14:textId="1590A337" w:rsidR="002820BE" w:rsidRDefault="00CB4F35" w:rsidP="00440E0A">
      <w:pPr>
        <w:ind w:left="720"/>
        <w:jc w:val="both"/>
      </w:pPr>
      <w:r>
        <w:t xml:space="preserve">AGRAVO DE PETIÇÃO. MATÉRIA DE ORDEM PÚBLICA. DESNECESSIDADE DE GARANTIA DO JUÍZO. </w:t>
      </w:r>
      <w:r w:rsidRPr="00AA0551">
        <w:rPr>
          <w:b/>
          <w:bCs/>
        </w:rPr>
        <w:t xml:space="preserve">A ausência de garantia do Juízo não é impedimento ao conhecimento dos embargos à execução e do agravo de petição quando o seu objeto envolve matéria de ordem pública, no caso, nulidade da citação, arguida a qualquer tempo e passível de ser pronunciada de ofício pelo </w:t>
      </w:r>
      <w:r w:rsidR="00AA0551" w:rsidRPr="00AA0551">
        <w:rPr>
          <w:b/>
          <w:bCs/>
        </w:rPr>
        <w:t>Juízo</w:t>
      </w:r>
      <w:r w:rsidR="00AA0551">
        <w:t>.</w:t>
      </w:r>
      <w:r>
        <w:t xml:space="preserve"> Não conhecidos os embargos à execução pelo Juízo a quo, é imperioso o provimento do agravo de petição, determinando-se o retorno dos autos à Vara de Origem para apreciação da matéria</w:t>
      </w:r>
      <w:r>
        <w:t xml:space="preserve">. </w:t>
      </w:r>
      <w:r>
        <w:t>(TRT-2 - AP: 02779000920095020025, Relator.: MARIA CRISTINA CHRISTIANINI TRENTINI, 17ª Turma)</w:t>
      </w:r>
    </w:p>
    <w:p w14:paraId="6956F370" w14:textId="431ECED8" w:rsidR="00AA0551" w:rsidRDefault="002820BE" w:rsidP="00440E0A">
      <w:pPr>
        <w:ind w:left="720"/>
        <w:jc w:val="both"/>
      </w:pPr>
      <w:r>
        <w:t xml:space="preserve">DIREITO PROCESSUAL DO TRABALHO. AGRAVO DE INSTRUMENTO. AGRAVO DE PETIÇÃO. EMBARGOS À </w:t>
      </w:r>
      <w:r w:rsidR="00AA0551">
        <w:t>EXECUÇÃO.</w:t>
      </w:r>
      <w:r>
        <w:t xml:space="preserve"> MATÉRIA DE ORDEM PÚBLICA. GARANTIA DO JUÍZO. PRESCRIÇÃO INTERCORRENTE. </w:t>
      </w:r>
      <w:r w:rsidR="00AA0551">
        <w:t>NULIDADE.</w:t>
      </w:r>
      <w:r>
        <w:t xml:space="preserve"> I. CASO EM EXAME Agravo de instrumento interposto pelos executados contra decisão que denegou seguimento a agravo de petição, o qual questionava a decisão que não conheceu dos embargos à execução por falta de garantia do juízo. Os executados alegaram que as matérias dos embargos são de ordem pública, dispensando garantia. </w:t>
      </w:r>
      <w:proofErr w:type="gramStart"/>
      <w:r>
        <w:t>II .</w:t>
      </w:r>
      <w:proofErr w:type="gramEnd"/>
      <w:r>
        <w:t xml:space="preserve"> QUESTÃO EM DISCUSSÃO A questão em discussão refere-se à necessidade de garantia do juízo para o conhecimento de agravo de petição que versa sobre matéria de ordem pública. III. RAZÕES DE DECIDIR 1</w:t>
      </w:r>
      <w:r w:rsidRPr="006A715C">
        <w:rPr>
          <w:b/>
          <w:bCs/>
        </w:rPr>
        <w:t xml:space="preserve">. As matérias levantadas no agravo de petição são de ordem pública, dispensando garantia do juízo para o conhecimento do recurso, podendo ser conhecidas de ofício e a qualquer </w:t>
      </w:r>
      <w:proofErr w:type="gramStart"/>
      <w:r w:rsidRPr="006A715C">
        <w:rPr>
          <w:b/>
          <w:bCs/>
        </w:rPr>
        <w:t>tempo .</w:t>
      </w:r>
      <w:proofErr w:type="gramEnd"/>
      <w:r w:rsidRPr="006A715C">
        <w:rPr>
          <w:b/>
          <w:bCs/>
        </w:rPr>
        <w:t xml:space="preserve"> 2. Os embargos à execução devem ser conhecidos e analisados em razão das questões de ordem pública suscitadas</w:t>
      </w:r>
      <w:r>
        <w:t xml:space="preserve">. 3. Para evitar supressão de instância, determina-se o retorno dos autos à Vara de origem para o julgamento dos embargos à </w:t>
      </w:r>
      <w:r w:rsidR="006A715C">
        <w:t>execução.</w:t>
      </w:r>
      <w:r>
        <w:t xml:space="preserve"> IV. DISPOSITIVO E TESE 1. Agravo de instrumento provido. Agravo de petição provido, determinando o retorno dos autos à Vara de origem para julgamento dos embargos à </w:t>
      </w:r>
      <w:r w:rsidR="006A715C">
        <w:t>execução.</w:t>
      </w:r>
      <w:r>
        <w:t xml:space="preserve"> Tese de julgamento: 1. Em agravo de petição que versa sobre matéria de ordem pública, a garantia do juízo não é requisito de admissibilidade. 2. A prescrição intercorrente e a nulidade de atos processuais por vício na execução de </w:t>
      </w:r>
      <w:r>
        <w:lastRenderedPageBreak/>
        <w:t xml:space="preserve">ofício são matérias de ordem pública, passíveis de conhecimento de ofício a qualquer tempo e grau de </w:t>
      </w:r>
      <w:r w:rsidR="006A715C">
        <w:t>jurisdição.</w:t>
      </w:r>
      <w:r>
        <w:t xml:space="preserve"> Dispositivos relevantes citados: Art. 899, parágrafo 7º, da CLT; Súmula 128, II, do TST; art. 878 da CLT; art. 789-A, inciso III, da </w:t>
      </w:r>
      <w:proofErr w:type="gramStart"/>
      <w:r>
        <w:t>CLT .</w:t>
      </w:r>
      <w:proofErr w:type="gramEnd"/>
      <w:r>
        <w:t xml:space="preserve"> Jurisprudência relevante citada: Precedentes do TRT da 18ª Região (mencionados no voto).</w:t>
      </w:r>
      <w:r>
        <w:t xml:space="preserve"> </w:t>
      </w:r>
      <w:r>
        <w:t>(TRT-18 - AIAP: 00000881320145180231, Relator.: GENTIL PIO DE OLIVEIRA, 1ª TURMA - Gab. Des. Gentil Pio de Oliveira)</w:t>
      </w:r>
    </w:p>
    <w:p w14:paraId="73A926FA" w14:textId="7105216A" w:rsidR="009D7986" w:rsidRPr="009D7986" w:rsidRDefault="00AA0551" w:rsidP="00302C34">
      <w:pPr>
        <w:ind w:left="720"/>
        <w:jc w:val="both"/>
      </w:pPr>
      <w:r>
        <w:t xml:space="preserve">EMBARGOS À EXECUÇÃO - AUSÊNCIA DE GARANTIA DO JUÍZO - MATÉRIA DE ORDEM PÚBLICA - CONHECIMENTO. </w:t>
      </w:r>
      <w:r w:rsidRPr="00AA0551">
        <w:rPr>
          <w:b/>
          <w:bCs/>
        </w:rPr>
        <w:t>Inexiste óbice ao conhecimento dos embargos à execução, ainda que ausente a integral garantia do juízo, se a questão neles tratada é de ordem pública, a exemplo da impenhorabilidade prevista no art. 833, IV, do CPC, devendo ser prestigiada a efetividade da tutela jurisdicional, bem como os princípios do contraditório e da ampla defesa</w:t>
      </w:r>
      <w:r>
        <w:t xml:space="preserve">. </w:t>
      </w:r>
      <w:r>
        <w:t>(TRT-3 - AP: 0010773-58 .2019.5.03.0090, Relator.: André Schmidt de Brito, Nona Turma)</w:t>
      </w:r>
    </w:p>
    <w:p w14:paraId="072765A7" w14:textId="77777777" w:rsidR="009D7986" w:rsidRPr="009D7986" w:rsidRDefault="009D7986" w:rsidP="009D7986">
      <w:pPr>
        <w:ind w:left="720"/>
      </w:pPr>
    </w:p>
    <w:p w14:paraId="2172668C" w14:textId="27A01960" w:rsidR="00D650FF" w:rsidRPr="00D650FF" w:rsidRDefault="00AF7983" w:rsidP="00440E0A">
      <w:pPr>
        <w:numPr>
          <w:ilvl w:val="0"/>
          <w:numId w:val="9"/>
        </w:numPr>
        <w:jc w:val="both"/>
      </w:pPr>
      <w:r w:rsidRPr="00AF7983">
        <w:rPr>
          <w:b/>
          <w:bCs/>
        </w:rPr>
        <w:t>Mandado de Segurança</w:t>
      </w:r>
      <w:r w:rsidRPr="00AF7983">
        <w:t xml:space="preserve"> –</w:t>
      </w:r>
      <w:r w:rsidR="00D650FF">
        <w:t xml:space="preserve"> </w:t>
      </w:r>
      <w:r w:rsidR="00D650FF" w:rsidRPr="00D650FF">
        <w:t xml:space="preserve">No contexto da prova prático-profissional da OAB, é plenamente justificável a apresentação do </w:t>
      </w:r>
      <w:r w:rsidR="00D650FF" w:rsidRPr="00D650FF">
        <w:rPr>
          <w:b/>
          <w:bCs/>
        </w:rPr>
        <w:t>Mandado de Segurança com pedido liminar</w:t>
      </w:r>
      <w:r w:rsidR="00D650FF" w:rsidRPr="00D650FF">
        <w:t xml:space="preserve"> como peça processual adequada, especialmente </w:t>
      </w:r>
      <w:r w:rsidR="00D650FF" w:rsidRPr="00D650FF">
        <w:t>diante d</w:t>
      </w:r>
      <w:r w:rsidR="00D650FF">
        <w:t>a</w:t>
      </w:r>
      <w:r w:rsidR="00D650FF" w:rsidRPr="00D650FF">
        <w:t xml:space="preserve"> flagrante</w:t>
      </w:r>
      <w:r w:rsidR="00D650FF" w:rsidRPr="00D650FF">
        <w:t xml:space="preserve"> ilegalidade e da urgência da situação retratada no enunciado.</w:t>
      </w:r>
    </w:p>
    <w:p w14:paraId="4C23F48E" w14:textId="3DE8FF41" w:rsidR="00D650FF" w:rsidRPr="00D650FF" w:rsidRDefault="00D650FF" w:rsidP="00440E0A">
      <w:pPr>
        <w:ind w:left="720"/>
        <w:jc w:val="both"/>
      </w:pPr>
      <w:r w:rsidRPr="00D650FF">
        <w:t xml:space="preserve">Ainda que o </w:t>
      </w:r>
      <w:r w:rsidRPr="00D650FF">
        <w:rPr>
          <w:b/>
          <w:bCs/>
        </w:rPr>
        <w:t>art. 5º da Lei nº 12.016/2009</w:t>
      </w:r>
      <w:r w:rsidRPr="00D650FF">
        <w:t xml:space="preserve"> disponha que</w:t>
      </w:r>
      <w:r>
        <w:t xml:space="preserve"> </w:t>
      </w:r>
      <w:r w:rsidRPr="00D650FF">
        <w:t>“Não se concederá mandado de segurança quando se tratar de decisão judicial da qual caiba recurso com efeito suspensivo”,</w:t>
      </w:r>
    </w:p>
    <w:p w14:paraId="1A69CAE6" w14:textId="2EB0DD26" w:rsidR="00D650FF" w:rsidRPr="00D650FF" w:rsidRDefault="00D650FF" w:rsidP="00440E0A">
      <w:pPr>
        <w:ind w:left="720"/>
        <w:jc w:val="both"/>
      </w:pPr>
      <w:r>
        <w:t>A</w:t>
      </w:r>
      <w:r w:rsidRPr="00D650FF">
        <w:t xml:space="preserve"> própria </w:t>
      </w:r>
      <w:r w:rsidRPr="00D650FF">
        <w:rPr>
          <w:b/>
          <w:bCs/>
        </w:rPr>
        <w:t>jurisprudência consolidada do Tribunal Superior do Trabalho</w:t>
      </w:r>
      <w:r w:rsidRPr="00D650FF">
        <w:t xml:space="preserve">, por meio da </w:t>
      </w:r>
      <w:r w:rsidRPr="00D650FF">
        <w:rPr>
          <w:b/>
          <w:bCs/>
        </w:rPr>
        <w:t>Orientação Jurisprudencial nº 92 da SBDI-2</w:t>
      </w:r>
      <w:r w:rsidRPr="00D650FF">
        <w:t xml:space="preserve">, e do </w:t>
      </w:r>
      <w:r w:rsidRPr="00D650FF">
        <w:rPr>
          <w:b/>
          <w:bCs/>
        </w:rPr>
        <w:t>Supremo Tribunal Federal</w:t>
      </w:r>
      <w:r w:rsidRPr="00D650FF">
        <w:t xml:space="preserve">, conforme a </w:t>
      </w:r>
      <w:r w:rsidRPr="00D650FF">
        <w:rPr>
          <w:b/>
          <w:bCs/>
        </w:rPr>
        <w:t>Súmula 267</w:t>
      </w:r>
      <w:r w:rsidRPr="00D650FF">
        <w:t xml:space="preserve">, admite o cabimento do mandado de segurança </w:t>
      </w:r>
      <w:r w:rsidRPr="00D650FF">
        <w:rPr>
          <w:b/>
          <w:bCs/>
        </w:rPr>
        <w:t>quando não houver recurso específico com efeito suspensivo e estiver configurada ameaça de lesão irreparável a direito líquido e certo da parte</w:t>
      </w:r>
      <w:r w:rsidRPr="00D650FF">
        <w:t>.</w:t>
      </w:r>
    </w:p>
    <w:p w14:paraId="67998ED4" w14:textId="77777777" w:rsidR="00D650FF" w:rsidRPr="00D650FF" w:rsidRDefault="00D650FF" w:rsidP="00440E0A">
      <w:pPr>
        <w:ind w:left="720"/>
        <w:jc w:val="both"/>
      </w:pPr>
      <w:r w:rsidRPr="00D650FF">
        <w:t xml:space="preserve">Mais do que isso, o rigor dessa regra tem sido </w:t>
      </w:r>
      <w:r w:rsidRPr="00D650FF">
        <w:rPr>
          <w:b/>
          <w:bCs/>
        </w:rPr>
        <w:t>mitigado em hipóteses excepcionais</w:t>
      </w:r>
      <w:r w:rsidRPr="00D650FF">
        <w:t xml:space="preserve">, nas quais a permanência dos efeitos do ato judicial impugnado </w:t>
      </w:r>
      <w:r w:rsidRPr="00D650FF">
        <w:rPr>
          <w:b/>
          <w:bCs/>
        </w:rPr>
        <w:t>acarreta prejuízos graves e imediatos à parte</w:t>
      </w:r>
      <w:r w:rsidRPr="00D650FF">
        <w:t xml:space="preserve">, principalmente em casos de </w:t>
      </w:r>
      <w:r w:rsidRPr="00D650FF">
        <w:rPr>
          <w:b/>
          <w:bCs/>
        </w:rPr>
        <w:t>ilegalidade manifesta ou teratologia</w:t>
      </w:r>
      <w:r w:rsidRPr="00D650FF">
        <w:t xml:space="preserve">, como ocorre na hipótese de </w:t>
      </w:r>
      <w:r w:rsidRPr="00D650FF">
        <w:rPr>
          <w:b/>
          <w:bCs/>
        </w:rPr>
        <w:t>bloqueio de aposentadoria e de bem de família sem motivação e sem citação válida</w:t>
      </w:r>
      <w:r w:rsidRPr="00D650FF">
        <w:t>.</w:t>
      </w:r>
    </w:p>
    <w:p w14:paraId="7C9647EB" w14:textId="04020A6B" w:rsidR="00D650FF" w:rsidRDefault="00D650FF" w:rsidP="00440E0A">
      <w:pPr>
        <w:ind w:left="720"/>
        <w:jc w:val="both"/>
      </w:pPr>
      <w:r w:rsidRPr="00D650FF">
        <w:t xml:space="preserve">Nessas condições, o </w:t>
      </w:r>
      <w:r w:rsidRPr="00D650FF">
        <w:rPr>
          <w:b/>
          <w:bCs/>
        </w:rPr>
        <w:t>mandado de segurança configura-se como medida legítima e urgente</w:t>
      </w:r>
      <w:r w:rsidRPr="00D650FF">
        <w:t xml:space="preserve">, apta a tutelar direito líquido e certo, </w:t>
      </w:r>
      <w:r w:rsidRPr="00D650FF">
        <w:rPr>
          <w:b/>
          <w:bCs/>
        </w:rPr>
        <w:t>devendo ser aceito como peça processualmente correta</w:t>
      </w:r>
      <w:r w:rsidRPr="00D650FF">
        <w:t>, à luz da jurisprudência e dos princípios constitucionais do contraditório, ampla defesa e dignidade da pessoa humana</w:t>
      </w:r>
      <w:r>
        <w:t xml:space="preserve">. </w:t>
      </w:r>
    </w:p>
    <w:p w14:paraId="7F13328C" w14:textId="219F95C0" w:rsidR="00D650FF" w:rsidRPr="00D650FF" w:rsidRDefault="00D650FF" w:rsidP="00440E0A">
      <w:pPr>
        <w:ind w:left="720"/>
        <w:jc w:val="both"/>
      </w:pPr>
      <w:r>
        <w:t>Ne</w:t>
      </w:r>
      <w:r w:rsidR="006B706F">
        <w:t>sse sentido</w:t>
      </w:r>
      <w:r>
        <w:t xml:space="preserve">, segue a jurisprudência: </w:t>
      </w:r>
    </w:p>
    <w:p w14:paraId="2972292B" w14:textId="386F9526" w:rsidR="00EA78F7" w:rsidRDefault="00EA78F7" w:rsidP="00440E0A">
      <w:pPr>
        <w:ind w:left="720"/>
        <w:jc w:val="both"/>
      </w:pPr>
      <w:r>
        <w:t xml:space="preserve">RECURSO ORDINÁRIO EM AGRAVO REGIMENTAL EM MANDADO DE SEGURANÇA. ATO COATOR PRATICADO SOB A ÉGIDE DO CPC DE 2015. INDEFERIMENTO DE LIBERAÇÃO DE VALORES BLOQUEADOS ORIUNDOS DA PREVIDÊNCIA PRIVADA. MITIGAÇÃO DA ORIENTAÇÃO JURISPRUDENCIAL 92 DA SBDI-2 DO </w:t>
      </w:r>
      <w:r w:rsidR="00440E0A">
        <w:t>TST.</w:t>
      </w:r>
      <w:r>
        <w:t xml:space="preserve"> EXAME DO MÉRITO DO MANDADO DE SEGURANÇA. INVIABILIDADE. AUSÊNCIA DE CITAÇÃO DOS LITISCONSORTES PASSIVOS NECESSÁRIOS. DETERMINAÇÃO DE RETORNO DOS AUTOS AO TRIBUNAL DE </w:t>
      </w:r>
      <w:r w:rsidR="00440E0A">
        <w:t>ORIGEM.</w:t>
      </w:r>
      <w:r>
        <w:t xml:space="preserve"> 1 - De acordo com a Orientação </w:t>
      </w:r>
      <w:r>
        <w:lastRenderedPageBreak/>
        <w:t>Jurisprudencial 92 da SBDI-2, o mandado de segurança é cabível apenas quando a parte se encontra prestes a sofrer prejuízos irreparáveis e desde que não exista recurso próprio para lhe socorrer</w:t>
      </w:r>
      <w:r w:rsidRPr="00EA78F7">
        <w:rPr>
          <w:b/>
          <w:bCs/>
        </w:rPr>
        <w:t>. 2 - Todavia, esse rigor tem sido mitigado para os casos em que, embora haja meio próprio de impugnação, possa resultar grave lesão à parte ao se aguardar o prosseguimento da controvérsia pela via ordinária, aliada à teratologia do ato praticado pela autoridade coatora, como, por exemplo, no caso de bloqueio de valores oriundos de previdência privada</w:t>
      </w:r>
      <w:r>
        <w:t xml:space="preserve">. 3 - Todavia, apesar de afastada a conclusão do Tribunal Regional acerca do não cabimento do mandado de segurança, esta SBDI-2 não está habilitada a examinar desde logo o mérito, pois os litisconsortes passivos necessários não foram devidamente citados, diante do indeferimento liminar da petição inicial. Resulta imprescindível o retorno dos autos ao Tribunal de origem para o devido processamento do mandado de </w:t>
      </w:r>
      <w:r w:rsidR="00440E0A">
        <w:t>segurança.</w:t>
      </w:r>
      <w:r>
        <w:t xml:space="preserve"> Recurso ordinário conhecido e provido.</w:t>
      </w:r>
      <w:r>
        <w:t xml:space="preserve"> </w:t>
      </w:r>
      <w:r>
        <w:t>(TST - ROT: 00003824820205080000, Relator.: Delaide Alves Miranda Arantes, Data de Julgamento: 27/04/2021, Subseção II Especializada em Dissídios Individuais, Data de Publicação: 30/04/2021)</w:t>
      </w:r>
    </w:p>
    <w:p w14:paraId="453A9600" w14:textId="77777777" w:rsidR="00EA78F7" w:rsidRPr="00AF7983" w:rsidRDefault="00EA78F7" w:rsidP="00EA78F7">
      <w:pPr>
        <w:ind w:left="720"/>
      </w:pPr>
    </w:p>
    <w:p w14:paraId="23070B7E" w14:textId="2C70E213" w:rsidR="00075501" w:rsidRPr="00075501" w:rsidRDefault="00AF7983" w:rsidP="00D650FF">
      <w:pPr>
        <w:numPr>
          <w:ilvl w:val="0"/>
          <w:numId w:val="9"/>
        </w:numPr>
        <w:jc w:val="both"/>
      </w:pPr>
      <w:r w:rsidRPr="00AF7983">
        <w:rPr>
          <w:b/>
          <w:bCs/>
        </w:rPr>
        <w:t>Agravo de Petição</w:t>
      </w:r>
      <w:r w:rsidRPr="00AF7983">
        <w:t xml:space="preserve"> –</w:t>
      </w:r>
      <w:r w:rsidR="00805AE1">
        <w:t xml:space="preserve"> </w:t>
      </w:r>
      <w:r w:rsidR="00075501" w:rsidRPr="00075501">
        <w:t xml:space="preserve">Admite-se a interposição imediata de </w:t>
      </w:r>
      <w:r w:rsidR="00075501" w:rsidRPr="00075501">
        <w:rPr>
          <w:b/>
          <w:bCs/>
        </w:rPr>
        <w:t>agravo de petição</w:t>
      </w:r>
      <w:r w:rsidR="00075501" w:rsidRPr="00075501">
        <w:t xml:space="preserve"> quando a decisão proferida na fase de execução possui </w:t>
      </w:r>
      <w:r w:rsidR="00075501" w:rsidRPr="00075501">
        <w:rPr>
          <w:b/>
          <w:bCs/>
        </w:rPr>
        <w:t>nítido conteúdo terminativo</w:t>
      </w:r>
      <w:r w:rsidR="00075501" w:rsidRPr="00075501">
        <w:t xml:space="preserve">, causando </w:t>
      </w:r>
      <w:r w:rsidR="00075501" w:rsidRPr="00075501">
        <w:rPr>
          <w:b/>
          <w:bCs/>
        </w:rPr>
        <w:t>gravame direto e irreparável à parte</w:t>
      </w:r>
      <w:r w:rsidR="00075501" w:rsidRPr="00075501">
        <w:t>, não havendo outro momento processual oportuno para a renovação da matéria perante aquela instância.</w:t>
      </w:r>
    </w:p>
    <w:p w14:paraId="6050ABC6" w14:textId="77777777" w:rsidR="00075501" w:rsidRPr="00075501" w:rsidRDefault="00075501" w:rsidP="00D650FF">
      <w:pPr>
        <w:ind w:left="720"/>
        <w:jc w:val="both"/>
      </w:pPr>
      <w:r w:rsidRPr="00075501">
        <w:t xml:space="preserve">No caso concreto, a decisão que determinou o </w:t>
      </w:r>
      <w:r w:rsidRPr="00075501">
        <w:rPr>
          <w:b/>
          <w:bCs/>
        </w:rPr>
        <w:t>bloqueio de proventos de aposentadoria e do único bem de família</w:t>
      </w:r>
      <w:r w:rsidRPr="00075501">
        <w:t xml:space="preserve"> da executada possui evidente </w:t>
      </w:r>
      <w:r w:rsidRPr="00075501">
        <w:rPr>
          <w:b/>
          <w:bCs/>
        </w:rPr>
        <w:t>conteúdo decisório</w:t>
      </w:r>
      <w:r w:rsidRPr="00075501">
        <w:t xml:space="preserve">, e, por isso, a insurgência contra esse pronunciamento deveria ser manifestada desde logo, por meio do </w:t>
      </w:r>
      <w:r w:rsidRPr="00075501">
        <w:rPr>
          <w:b/>
          <w:bCs/>
        </w:rPr>
        <w:t>competente agravo de petição</w:t>
      </w:r>
      <w:r w:rsidRPr="00075501">
        <w:t xml:space="preserve">, sob pena de </w:t>
      </w:r>
      <w:r w:rsidRPr="00075501">
        <w:rPr>
          <w:b/>
          <w:bCs/>
        </w:rPr>
        <w:t>preclusão</w:t>
      </w:r>
      <w:r w:rsidRPr="00075501">
        <w:t xml:space="preserve"> do direito e violação ao princípio da </w:t>
      </w:r>
      <w:r w:rsidRPr="00075501">
        <w:rPr>
          <w:b/>
          <w:bCs/>
        </w:rPr>
        <w:t>efetividade da tutela executiva</w:t>
      </w:r>
      <w:r w:rsidRPr="00075501">
        <w:t>.</w:t>
      </w:r>
    </w:p>
    <w:p w14:paraId="11DAC451" w14:textId="19AB94E5" w:rsidR="00075501" w:rsidRPr="00075501" w:rsidRDefault="00075501" w:rsidP="00D650FF">
      <w:pPr>
        <w:ind w:left="720"/>
        <w:jc w:val="both"/>
      </w:pPr>
      <w:r w:rsidRPr="00075501">
        <w:t xml:space="preserve">Há, inclusive, corrente doutrinária e jurisprudencial consolidada no sentido de que, em </w:t>
      </w:r>
      <w:r w:rsidRPr="00075501">
        <w:rPr>
          <w:b/>
          <w:bCs/>
        </w:rPr>
        <w:t>situações excepcionais</w:t>
      </w:r>
      <w:r w:rsidRPr="00075501">
        <w:t xml:space="preserve">, a decisão interlocutória com </w:t>
      </w:r>
      <w:r w:rsidR="00805AE1">
        <w:t xml:space="preserve">caráter </w:t>
      </w:r>
      <w:r w:rsidRPr="00075501">
        <w:t xml:space="preserve">terminativo pode ser impugnada de imediato por </w:t>
      </w:r>
      <w:r w:rsidRPr="00075501">
        <w:rPr>
          <w:b/>
          <w:bCs/>
        </w:rPr>
        <w:t>agravo de petição</w:t>
      </w:r>
      <w:r w:rsidRPr="00075501">
        <w:t>, como ensina Carlos Henrique Bezerra Leite:</w:t>
      </w:r>
    </w:p>
    <w:p w14:paraId="10AA14CC" w14:textId="77777777" w:rsidR="00075501" w:rsidRPr="00075501" w:rsidRDefault="00075501" w:rsidP="00D650FF">
      <w:pPr>
        <w:ind w:left="720"/>
        <w:jc w:val="both"/>
      </w:pPr>
      <w:r w:rsidRPr="00075501">
        <w:t>“Em situações excepcionais, a decisão interlocutória, quando terminativa do feito, poderá ser atacada de imediato pelo agravo de petição.”</w:t>
      </w:r>
      <w:r w:rsidRPr="00075501">
        <w:br/>
        <w:t>(Curso de Direito Processual do Trabalho, 2ª ed., LTr, p. 557)</w:t>
      </w:r>
    </w:p>
    <w:p w14:paraId="67EC8084" w14:textId="77777777" w:rsidR="00075501" w:rsidRPr="00075501" w:rsidRDefault="00075501" w:rsidP="00D650FF">
      <w:pPr>
        <w:ind w:left="720"/>
        <w:jc w:val="both"/>
      </w:pPr>
      <w:r w:rsidRPr="00075501">
        <w:t xml:space="preserve">Nesse sentido, a interposição do agravo encontra amparo nos </w:t>
      </w:r>
      <w:r w:rsidRPr="00075501">
        <w:rPr>
          <w:b/>
          <w:bCs/>
        </w:rPr>
        <w:t>arts. 897, alínea “a”, e 893, § 1º, da CLT</w:t>
      </w:r>
      <w:r w:rsidRPr="00075501">
        <w:t xml:space="preserve">, e nas </w:t>
      </w:r>
      <w:r w:rsidRPr="00075501">
        <w:rPr>
          <w:b/>
          <w:bCs/>
        </w:rPr>
        <w:t>hipóteses excepcionais reconhecidas na Súmula nº 214 do TST</w:t>
      </w:r>
      <w:r w:rsidRPr="00075501">
        <w:t>, que dispõe:</w:t>
      </w:r>
    </w:p>
    <w:p w14:paraId="770B40CF" w14:textId="77777777" w:rsidR="00075501" w:rsidRPr="00075501" w:rsidRDefault="00075501" w:rsidP="00D650FF">
      <w:pPr>
        <w:ind w:left="720"/>
        <w:jc w:val="both"/>
      </w:pPr>
      <w:r w:rsidRPr="00075501">
        <w:t>“</w:t>
      </w:r>
      <w:r w:rsidRPr="00075501">
        <w:rPr>
          <w:i/>
          <w:iCs/>
        </w:rPr>
        <w:t>Na Justiça do Trabalho, nos termos do art. 893, § 1º, da CLT, as decisões interlocutórias não ensejam recurso imediato, salvo nas hipóteses de decisão:</w:t>
      </w:r>
      <w:r w:rsidRPr="00075501">
        <w:rPr>
          <w:i/>
          <w:iCs/>
        </w:rPr>
        <w:br/>
        <w:t>a) de Tribunal Regional do Trabalho contrária à Súmula ou Orientação Jurisprudencial do Tribunal Superior do Trabalho;</w:t>
      </w:r>
      <w:r w:rsidRPr="00075501">
        <w:rPr>
          <w:i/>
          <w:iCs/>
        </w:rPr>
        <w:br/>
        <w:t>b) suscetível de impugnação mediante recurso para o mesmo Tribunal;</w:t>
      </w:r>
      <w:r w:rsidRPr="00075501">
        <w:rPr>
          <w:i/>
          <w:iCs/>
        </w:rPr>
        <w:br/>
        <w:t xml:space="preserve">c) que acolhe exceção de incompetência territorial, com remessa dos autos para </w:t>
      </w:r>
      <w:r w:rsidRPr="00075501">
        <w:rPr>
          <w:i/>
          <w:iCs/>
        </w:rPr>
        <w:lastRenderedPageBreak/>
        <w:t>Tribunal Regional distinto daquele a que se vincula o juízo excepcionado, consoante o disposto no art. 799, § 2º, da CLT</w:t>
      </w:r>
      <w:r w:rsidRPr="00075501">
        <w:t>.”</w:t>
      </w:r>
    </w:p>
    <w:p w14:paraId="703516A8" w14:textId="476C25A3" w:rsidR="00D650FF" w:rsidRDefault="00075501" w:rsidP="00440E0A">
      <w:pPr>
        <w:ind w:left="720"/>
        <w:jc w:val="both"/>
      </w:pPr>
      <w:r w:rsidRPr="00075501">
        <w:t xml:space="preserve">Portanto, diante da </w:t>
      </w:r>
      <w:r w:rsidRPr="00075501">
        <w:rPr>
          <w:b/>
          <w:bCs/>
        </w:rPr>
        <w:t>excepcionalidade da medida proferida nos autos</w:t>
      </w:r>
      <w:r w:rsidRPr="00075501">
        <w:t xml:space="preserve">, que compromete </w:t>
      </w:r>
      <w:r w:rsidRPr="00075501">
        <w:rPr>
          <w:b/>
          <w:bCs/>
        </w:rPr>
        <w:t>direitos fundamentais da parte executada</w:t>
      </w:r>
      <w:r w:rsidRPr="00075501">
        <w:t xml:space="preserve">, como a proteção à moradia e à subsistência, o </w:t>
      </w:r>
      <w:r w:rsidRPr="00075501">
        <w:rPr>
          <w:b/>
          <w:bCs/>
        </w:rPr>
        <w:t>agravo de petição</w:t>
      </w:r>
      <w:r w:rsidRPr="00075501">
        <w:t xml:space="preserve"> mostra-se </w:t>
      </w:r>
      <w:r w:rsidRPr="00075501">
        <w:rPr>
          <w:b/>
          <w:bCs/>
        </w:rPr>
        <w:t>via processual legítima, cabível e juridicamente segura</w:t>
      </w:r>
      <w:r w:rsidRPr="00075501">
        <w:t>, devendo ser admitido como peça correta e válida na prova prático-profissional.</w:t>
      </w:r>
    </w:p>
    <w:p w14:paraId="67232B62" w14:textId="069DDC83" w:rsidR="000745DC" w:rsidRDefault="00805AE1" w:rsidP="00D650FF">
      <w:pPr>
        <w:ind w:left="720"/>
        <w:jc w:val="both"/>
      </w:pPr>
      <w:r>
        <w:t>N</w:t>
      </w:r>
      <w:r w:rsidR="006B706F">
        <w:t>o mesmo sentido</w:t>
      </w:r>
      <w:r>
        <w:t xml:space="preserve">, segue a jurisprudência: </w:t>
      </w:r>
    </w:p>
    <w:p w14:paraId="574047DE" w14:textId="2C41FBEC" w:rsidR="00524BC2" w:rsidRDefault="000745DC" w:rsidP="00440E0A">
      <w:pPr>
        <w:ind w:left="709"/>
        <w:jc w:val="both"/>
      </w:pPr>
      <w:r>
        <w:t xml:space="preserve">AGRAVO DE INSTRUMENTO EM AGRAVO DE PETIÇÃO. </w:t>
      </w:r>
      <w:r w:rsidRPr="00AC56D8">
        <w:rPr>
          <w:b/>
          <w:bCs/>
        </w:rPr>
        <w:t xml:space="preserve">DECISÃO QUE AUTORIZA A PENHORA SOBRE PROVENTOS DE APOSENTADORIA. DECISÃO TERMINATIVA. CABIMENTO DO AGRAVO DE </w:t>
      </w:r>
      <w:r w:rsidR="00805AE1" w:rsidRPr="00AC56D8">
        <w:rPr>
          <w:b/>
          <w:bCs/>
        </w:rPr>
        <w:t>PETIÇÃO</w:t>
      </w:r>
      <w:r w:rsidR="00805AE1">
        <w:t>.</w:t>
      </w:r>
      <w:r>
        <w:t xml:space="preserve"> O artigo 897, alínea a, da CLT estabelece que o agravo de petição é o recurso cabível das decisões proferidas na execução, o qual sofre a limitação do princípio da irrecorribilidade das decisões interlocutórias, insculpido no artigo 893, § 1º, da CLT. </w:t>
      </w:r>
      <w:r w:rsidRPr="00AC56D8">
        <w:rPr>
          <w:b/>
          <w:bCs/>
        </w:rPr>
        <w:t>A decisão que autoriza a penhora de proventos de aposentadoria é terminativa e de cunho decisório em relação ao objeto da pretensão, causando evidente prejuízo à agravante, sujeitando-se a ataque por intermédio de agravo de petição.</w:t>
      </w:r>
      <w:r>
        <w:t xml:space="preserve"> Agravo de instrumento provido para destrancar o agravo de petição interposto pela sócia executada.</w:t>
      </w:r>
      <w:r w:rsidR="005670EC">
        <w:t xml:space="preserve"> </w:t>
      </w:r>
      <w:r>
        <w:t>(TRT-1 - Agravo de Instrumento em Agravo de Petição: 01013312520195010028, Relator.: CELIO JUACABA CAVALCANTE, Data de Julgamento: 06/12/2023, Nona Turma, Data de Publicação: DEJT)</w:t>
      </w:r>
    </w:p>
    <w:p w14:paraId="2551D316" w14:textId="38ABDEA0" w:rsidR="00F366F9" w:rsidRDefault="00524BC2" w:rsidP="00440E0A">
      <w:pPr>
        <w:ind w:left="709"/>
        <w:jc w:val="both"/>
      </w:pPr>
      <w:r w:rsidRPr="00524BC2">
        <w:t xml:space="preserve">AGRAVO DE INSTRUMENTO. DECISÃO QUE AUTORIZA PENHORA SOBRE PROVENTO DE APOSENTADORIA. DECISÃO TERMINATIVA DO FEITO. AGRAVO DE PETIÇÃO. POSSIBILIDADE. </w:t>
      </w:r>
      <w:r w:rsidRPr="00AC56D8">
        <w:rPr>
          <w:b/>
          <w:bCs/>
        </w:rPr>
        <w:t>Merece ser dado provimento o agravo de instrumento que pretenda destrancar agravo de petição interposto contra decisão terminativa do feito, quando o referido recurso se tratar de único meio hábil para atacá-la.</w:t>
      </w:r>
      <w:r w:rsidRPr="00524BC2">
        <w:t>"(TRT-1, processo nº 0101094-82.2016.5.01.0064, 7a Turma, Relator: ROGÉRIO LUCAS MARTINS. Data de julgamento: 19/7/2023. DEJT de 24/7/2023).</w:t>
      </w:r>
    </w:p>
    <w:p w14:paraId="1590A9FB" w14:textId="6BB32124" w:rsidR="009A5019" w:rsidRDefault="00F366F9" w:rsidP="00440E0A">
      <w:pPr>
        <w:ind w:left="709"/>
        <w:jc w:val="both"/>
      </w:pPr>
      <w:r>
        <w:t xml:space="preserve">AGRAVO DE INSTRUMENTO. DECISÃO DE NATUREZA TERMINATIVA. CABIMENTO DO AGRAVO DE PETIÇÃO. </w:t>
      </w:r>
      <w:r w:rsidRPr="00AC56D8">
        <w:rPr>
          <w:b/>
          <w:bCs/>
        </w:rPr>
        <w:t xml:space="preserve">A decisão na qual se mantém a penhora sobre proventos de aposentadoria tem natureza </w:t>
      </w:r>
      <w:r w:rsidRPr="00AC56D8">
        <w:rPr>
          <w:b/>
          <w:bCs/>
        </w:rPr>
        <w:t>terminativa.</w:t>
      </w:r>
      <w:r w:rsidRPr="00AC56D8">
        <w:rPr>
          <w:b/>
          <w:bCs/>
        </w:rPr>
        <w:t xml:space="preserve"> É cabível, portanto, o manejo do agravo de petição</w:t>
      </w:r>
      <w:r>
        <w:t xml:space="preserve">. AGRAVO DE PETIÇÃO. EXECUÇÃO TRABALHISTA. PENHORA DE </w:t>
      </w:r>
      <w:r>
        <w:t>RENDIMENTOS.</w:t>
      </w:r>
      <w:r>
        <w:t xml:space="preserve"> ADMISSIBILIDADE. O CPC de 2015 previu exceção à impenhorabilidade de rendimentos nas hipóteses de execução de prestação alimentícia, independentemente de sua origem. É admissível, portanto, a penhora de proventos de aposentadoria para satisfação de crédito trabalhista. Seguindo este entendimento, o TST reviu a redação da OJ 153 da SDI-2, a fim de limitar a incidência do verbete a situações ocorridas na vigência do CPC de </w:t>
      </w:r>
      <w:r>
        <w:t>1973.</w:t>
      </w:r>
      <w:r>
        <w:t xml:space="preserve"> Inteligência do art. 833, IV e § 2º, do CPC/2015</w:t>
      </w:r>
      <w:r>
        <w:t xml:space="preserve">. </w:t>
      </w:r>
      <w:r>
        <w:t>(TRT-2 00019236720135020085 SP, Relator.: MARCIO MENDES GRANCONATO, 16ª Turma - Cadeira 3, Data de Publicação: 12/02/2021)</w:t>
      </w:r>
    </w:p>
    <w:p w14:paraId="483953F6" w14:textId="6489F219" w:rsidR="009A5019" w:rsidRDefault="009A5019" w:rsidP="00440E0A">
      <w:pPr>
        <w:ind w:left="709"/>
        <w:jc w:val="both"/>
      </w:pPr>
      <w:r>
        <w:t xml:space="preserve">AGRAVO DE INSTRUMENTO. AGRAVO DE PETIÇÃO. DETERMINAÇÃO DE PENHORA SOBRE PROVENTOS DE APOSENTADORIA. DECISÃO DE CUNHO </w:t>
      </w:r>
      <w:r w:rsidR="00AD0C3A">
        <w:t>TERMINATIVO.</w:t>
      </w:r>
      <w:r>
        <w:t xml:space="preserve"> CABIMENTO. </w:t>
      </w:r>
      <w:r w:rsidRPr="00AC56D8">
        <w:rPr>
          <w:b/>
          <w:bCs/>
        </w:rPr>
        <w:t xml:space="preserve">Cabível a interposição do agravo de petição, considerando que a decisão contra a qual se insurgiu a parte agravante, que determinou a </w:t>
      </w:r>
      <w:r w:rsidRPr="00AC56D8">
        <w:rPr>
          <w:b/>
          <w:bCs/>
        </w:rPr>
        <w:lastRenderedPageBreak/>
        <w:t xml:space="preserve">determinação de bloqueio de valores em conta bancária recebedora de proventos de aposentadoria, é dotada de nítido caráter terminativo perante o objeto da sua pretensão, nos exatos termos do art. 893, § 1º, da Consolidação das Leis do </w:t>
      </w:r>
      <w:r w:rsidR="00AD0C3A" w:rsidRPr="00AC56D8">
        <w:rPr>
          <w:b/>
          <w:bCs/>
        </w:rPr>
        <w:t>Trabalho</w:t>
      </w:r>
      <w:r w:rsidRPr="00AC56D8">
        <w:rPr>
          <w:b/>
          <w:bCs/>
        </w:rPr>
        <w:t>, inexistindo outro momento processual oportuno para que a parte renove, perante aquela instância, a matéria objeto do referido pronunciamento judicial.</w:t>
      </w:r>
      <w:r>
        <w:t xml:space="preserve"> Agravo de instrumento provido para determinar o regular processamento do agravo de </w:t>
      </w:r>
      <w:r w:rsidR="00805AE1">
        <w:t>petição. (</w:t>
      </w:r>
      <w:r>
        <w:t>TRT-6 - AIAP: 00001794620215060020, Relator.: VALDIR JOSE SILVA DE CARVALHO, Terceira Turma - Desembargador Valdir José Silva de Carvalho)</w:t>
      </w:r>
    </w:p>
    <w:p w14:paraId="7AB8B44A" w14:textId="0A86DD4B" w:rsidR="00AF7983" w:rsidRPr="00AF7983" w:rsidRDefault="00AF7983" w:rsidP="00D650FF">
      <w:pPr>
        <w:ind w:left="851"/>
        <w:jc w:val="both"/>
      </w:pPr>
    </w:p>
    <w:p w14:paraId="6E592634" w14:textId="2523423A" w:rsidR="00ED2ED9" w:rsidRPr="00ED2ED9" w:rsidRDefault="00ED2ED9" w:rsidP="00ED2ED9">
      <w:pPr>
        <w:rPr>
          <w:b/>
          <w:bCs/>
        </w:rPr>
      </w:pPr>
      <w:r>
        <w:rPr>
          <w:b/>
          <w:bCs/>
        </w:rPr>
        <w:t>III</w:t>
      </w:r>
      <w:r w:rsidR="00440E0A">
        <w:rPr>
          <w:b/>
          <w:bCs/>
        </w:rPr>
        <w:t xml:space="preserve">. </w:t>
      </w:r>
      <w:r w:rsidRPr="00ED2ED9">
        <w:rPr>
          <w:b/>
          <w:bCs/>
        </w:rPr>
        <w:t>DA INOBSERVÂNCIA DAS REGRAS DO EDITAL: INADEQUAÇÃO DA PEÇA APONTADA NO GABARITO PRELIMINAR</w:t>
      </w:r>
    </w:p>
    <w:p w14:paraId="6D1B9D83" w14:textId="77777777" w:rsidR="00ED2ED9" w:rsidRPr="00ED2ED9" w:rsidRDefault="00ED2ED9" w:rsidP="00ED2ED9">
      <w:pPr>
        <w:jc w:val="both"/>
      </w:pPr>
      <w:r w:rsidRPr="00ED2ED9">
        <w:t>O gabarito preliminar divulgado pela banca examinadora indica, como única peça correta, a Exceção de Pré-Executividade. No entanto, essa escolha contraria frontalmente disposições expressas do próprio edital do 43º Exame de Ordem Unificado, notadamente os itens 4.2.6.1 e 3.5.12.</w:t>
      </w:r>
    </w:p>
    <w:p w14:paraId="577697E9" w14:textId="77777777" w:rsidR="00ED2ED9" w:rsidRPr="00ED2ED9" w:rsidRDefault="00ED2ED9" w:rsidP="00ED2ED9">
      <w:pPr>
        <w:jc w:val="both"/>
      </w:pPr>
      <w:r w:rsidRPr="00ED2ED9">
        <w:t>Conforme dispõe o item 4.2.6.1 do edital:</w:t>
      </w:r>
    </w:p>
    <w:p w14:paraId="7BAEA014" w14:textId="29320086" w:rsidR="00ED2ED9" w:rsidRPr="00ED2ED9" w:rsidRDefault="00923BC6" w:rsidP="00ED2ED9">
      <w:pPr>
        <w:jc w:val="both"/>
      </w:pPr>
      <w:r>
        <w:rPr>
          <w:b/>
          <w:bCs/>
          <w:i/>
          <w:iCs/>
        </w:rPr>
        <w:t>“</w:t>
      </w:r>
      <w:r w:rsidRPr="00923BC6">
        <w:rPr>
          <w:b/>
          <w:bCs/>
          <w:i/>
          <w:iCs/>
        </w:rPr>
        <w:t xml:space="preserve">4.2.6.1. </w:t>
      </w:r>
      <w:r w:rsidRPr="00923BC6">
        <w:rPr>
          <w:i/>
          <w:iCs/>
        </w:rPr>
        <w:t>A indicação correta da peça prática é verificada no nomen iuris da peça concomitantemente com o correto e completo fundamento legal usado para justificar tecnicamente a escolha feita</w:t>
      </w:r>
      <w:r w:rsidR="00ED2ED9" w:rsidRPr="00ED2ED9">
        <w:rPr>
          <w:i/>
          <w:iCs/>
        </w:rPr>
        <w:t>."</w:t>
      </w:r>
    </w:p>
    <w:p w14:paraId="754028AE" w14:textId="77777777" w:rsidR="00ED2ED9" w:rsidRPr="00ED2ED9" w:rsidRDefault="00ED2ED9" w:rsidP="00ED2ED9">
      <w:pPr>
        <w:jc w:val="both"/>
      </w:pPr>
      <w:r w:rsidRPr="00ED2ED9">
        <w:t xml:space="preserve">Sucede que a Exceção de Pré-Executividade </w:t>
      </w:r>
      <w:r w:rsidRPr="00ED2ED9">
        <w:rPr>
          <w:b/>
          <w:bCs/>
        </w:rPr>
        <w:t>não possui previsão legal expressa em nosso ordenamento jurídico</w:t>
      </w:r>
      <w:r w:rsidRPr="00ED2ED9">
        <w:t>, tratando-se de construção doutrinária e jurisprudencial. Assim, é materialmente impossível ao examinando indicar fundamento legal completo e correto, conforme exigido pela regra editalícia, uma vez que tal peça não se encontra tipificada em norma legal. A exigência da banca, portanto, coloca o candidato em situação de flagrante insegurança jurídica, violando as regras do próprio certame.</w:t>
      </w:r>
    </w:p>
    <w:p w14:paraId="3965A082" w14:textId="77777777" w:rsidR="00ED2ED9" w:rsidRPr="00ED2ED9" w:rsidRDefault="00ED2ED9" w:rsidP="00ED2ED9">
      <w:pPr>
        <w:jc w:val="both"/>
      </w:pPr>
      <w:r w:rsidRPr="00ED2ED9">
        <w:t>Ademais, nos termos do item 3.5.12 do edital, as questões da prova prático-profissional devem ser formuladas de maneira que a resposta reflita a jurisprudência pacificada dos Tribunais Superiores. Todavia, o cabimento da Exceção de Pré-Executividade não é pacífico na jurisprudência do Tribunal Superior do Trabalho, especialmente diante do entendimento firmado no Tema Repetitivo 144 da TST, que trata da irrecorribilidade da rejeição da Exceção, o que impõe sérias limitações à sua adoção como única medida cabível.</w:t>
      </w:r>
    </w:p>
    <w:p w14:paraId="519D7E92" w14:textId="204F2A04" w:rsidR="00E27578" w:rsidRPr="00D17411" w:rsidRDefault="00ED2ED9" w:rsidP="00D17411">
      <w:pPr>
        <w:jc w:val="both"/>
      </w:pPr>
      <w:r w:rsidRPr="00ED2ED9">
        <w:t>Assim, ao exigir como resposta única uma peça que não possui fundamento legal expresso e cuja aceitação não é pacífica na jurisprudência, a banca viola diretamente as normas do edital, comprometendo a isonomia, previsibilidade e segurança jurídica do certame.</w:t>
      </w:r>
    </w:p>
    <w:p w14:paraId="52BB3B6B" w14:textId="77777777" w:rsidR="00E27578" w:rsidRPr="00E27578" w:rsidRDefault="00E27578" w:rsidP="00E27578">
      <w:pPr>
        <w:rPr>
          <w:b/>
          <w:bCs/>
        </w:rPr>
      </w:pPr>
      <w:r w:rsidRPr="00E27578">
        <w:rPr>
          <w:b/>
          <w:bCs/>
        </w:rPr>
        <w:t>IV. DOS PEDIDOS</w:t>
      </w:r>
    </w:p>
    <w:p w14:paraId="73E34DE3" w14:textId="77777777" w:rsidR="00E27578" w:rsidRPr="00E27578" w:rsidRDefault="00E27578" w:rsidP="00E27578">
      <w:r w:rsidRPr="00E27578">
        <w:t>Diante de todo o exposto, considerando que a peça prevista no gabarito preliminar viola os itens 4.2.6.1 e 3.5.12 do edital, por não possuir fundamento legal expresso e não refletir jurisprudência pacificada dos Tribunais Superiores, requer-se à respeitável Banca Examinadora:</w:t>
      </w:r>
    </w:p>
    <w:p w14:paraId="722FEB62" w14:textId="77777777" w:rsidR="00E27578" w:rsidRPr="00E27578" w:rsidRDefault="00E27578" w:rsidP="00E27578">
      <w:pPr>
        <w:numPr>
          <w:ilvl w:val="0"/>
          <w:numId w:val="12"/>
        </w:numPr>
      </w:pPr>
      <w:r w:rsidRPr="00E27578">
        <w:t xml:space="preserve">A anulação da peça prático-profissional da 2ª fase do 43º Exame de Ordem – Direito do Trabalho, com fundamento no item 5.9.2 do edital, com a consequente </w:t>
      </w:r>
      <w:r w:rsidRPr="00E27578">
        <w:lastRenderedPageBreak/>
        <w:t>atribuição da pontuação integral (5,0 pontos) a todos os examinandos dessa área, inclusive àqueles que não interpuserem recurso;</w:t>
      </w:r>
    </w:p>
    <w:p w14:paraId="3365FA6D" w14:textId="77777777" w:rsidR="00E27578" w:rsidRPr="00E27578" w:rsidRDefault="00E27578" w:rsidP="00E27578">
      <w:pPr>
        <w:rPr>
          <w:b/>
          <w:bCs/>
        </w:rPr>
      </w:pPr>
      <w:r w:rsidRPr="00E27578">
        <w:rPr>
          <w:b/>
          <w:bCs/>
        </w:rPr>
        <w:t>OU, subsidiariamente:</w:t>
      </w:r>
    </w:p>
    <w:p w14:paraId="6A44E9C2" w14:textId="77777777" w:rsidR="00E27578" w:rsidRPr="00E27578" w:rsidRDefault="00E27578" w:rsidP="00E27578">
      <w:pPr>
        <w:numPr>
          <w:ilvl w:val="0"/>
          <w:numId w:val="13"/>
        </w:numPr>
      </w:pPr>
      <w:r w:rsidRPr="00E27578">
        <w:t>O reconhecimento da validade e correção técnica das seguintes peças, todas compatíveis com a jurisprudência dominante e com os comandos do enunciado:</w:t>
      </w:r>
    </w:p>
    <w:p w14:paraId="70C8A039" w14:textId="77777777" w:rsidR="00E27578" w:rsidRPr="00E27578" w:rsidRDefault="00E27578" w:rsidP="00E27578">
      <w:pPr>
        <w:numPr>
          <w:ilvl w:val="0"/>
          <w:numId w:val="14"/>
        </w:numPr>
      </w:pPr>
      <w:r w:rsidRPr="00E27578">
        <w:t>Exceção de Pré-Executividade;</w:t>
      </w:r>
    </w:p>
    <w:p w14:paraId="5BB7A85C" w14:textId="77777777" w:rsidR="00E27578" w:rsidRPr="00E27578" w:rsidRDefault="00E27578" w:rsidP="00E27578">
      <w:pPr>
        <w:numPr>
          <w:ilvl w:val="0"/>
          <w:numId w:val="14"/>
        </w:numPr>
      </w:pPr>
      <w:r w:rsidRPr="00E27578">
        <w:t>Embargos à Execução (inclusive sem garantia do juízo, por tratar de matéria de ordem pública);</w:t>
      </w:r>
    </w:p>
    <w:p w14:paraId="2FC2C2CA" w14:textId="77777777" w:rsidR="00E27578" w:rsidRPr="00E27578" w:rsidRDefault="00E27578" w:rsidP="00E27578">
      <w:pPr>
        <w:numPr>
          <w:ilvl w:val="0"/>
          <w:numId w:val="14"/>
        </w:numPr>
      </w:pPr>
      <w:r w:rsidRPr="00E27578">
        <w:t>Mandado de Segurança com pedido de liminar;</w:t>
      </w:r>
    </w:p>
    <w:p w14:paraId="5C588D6E" w14:textId="4E10E281" w:rsidR="00AC56D8" w:rsidRPr="00E27578" w:rsidRDefault="00E27578" w:rsidP="00AF7983">
      <w:pPr>
        <w:numPr>
          <w:ilvl w:val="0"/>
          <w:numId w:val="14"/>
        </w:numPr>
      </w:pPr>
      <w:r w:rsidRPr="00E27578">
        <w:t>Agravo de Petição.</w:t>
      </w:r>
    </w:p>
    <w:p w14:paraId="39AECADD" w14:textId="7C54CD65" w:rsidR="00AF7983" w:rsidRPr="00AF7983" w:rsidRDefault="00AF7983" w:rsidP="00AF7983">
      <w:r w:rsidRPr="00AF7983">
        <w:t>Nestes termos,</w:t>
      </w:r>
      <w:r w:rsidRPr="00AF7983">
        <w:br/>
        <w:t>Pede deferimento.</w:t>
      </w:r>
    </w:p>
    <w:p w14:paraId="69A952C7" w14:textId="77777777" w:rsidR="00E04B18" w:rsidRDefault="00E04B18"/>
    <w:p w14:paraId="7B90A505" w14:textId="77777777" w:rsidR="00496F0A" w:rsidRDefault="00496F0A"/>
    <w:p w14:paraId="62F77E40" w14:textId="77777777" w:rsidR="00496F0A" w:rsidRDefault="00496F0A"/>
    <w:sectPr w:rsidR="00496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1B83"/>
    <w:multiLevelType w:val="multilevel"/>
    <w:tmpl w:val="438E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C65EB"/>
    <w:multiLevelType w:val="multilevel"/>
    <w:tmpl w:val="6522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769E3"/>
    <w:multiLevelType w:val="multilevel"/>
    <w:tmpl w:val="01DC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04F89"/>
    <w:multiLevelType w:val="multilevel"/>
    <w:tmpl w:val="FD7E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7261B"/>
    <w:multiLevelType w:val="multilevel"/>
    <w:tmpl w:val="4BF68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405A2"/>
    <w:multiLevelType w:val="multilevel"/>
    <w:tmpl w:val="80F0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56F76"/>
    <w:multiLevelType w:val="multilevel"/>
    <w:tmpl w:val="977A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61F12"/>
    <w:multiLevelType w:val="multilevel"/>
    <w:tmpl w:val="770A5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A2F7AC9"/>
    <w:multiLevelType w:val="multilevel"/>
    <w:tmpl w:val="88A8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D1E1A"/>
    <w:multiLevelType w:val="multilevel"/>
    <w:tmpl w:val="E97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B0ACF"/>
    <w:multiLevelType w:val="multilevel"/>
    <w:tmpl w:val="A4A2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9E4328"/>
    <w:multiLevelType w:val="multilevel"/>
    <w:tmpl w:val="158A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91493"/>
    <w:multiLevelType w:val="multilevel"/>
    <w:tmpl w:val="0956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024AE"/>
    <w:multiLevelType w:val="multilevel"/>
    <w:tmpl w:val="C59E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781830">
    <w:abstractNumId w:val="6"/>
  </w:num>
  <w:num w:numId="2" w16cid:durableId="1564952313">
    <w:abstractNumId w:val="3"/>
  </w:num>
  <w:num w:numId="3" w16cid:durableId="2053188465">
    <w:abstractNumId w:val="11"/>
  </w:num>
  <w:num w:numId="4" w16cid:durableId="1663660202">
    <w:abstractNumId w:val="7"/>
  </w:num>
  <w:num w:numId="5" w16cid:durableId="1305890563">
    <w:abstractNumId w:val="9"/>
  </w:num>
  <w:num w:numId="6" w16cid:durableId="203903929">
    <w:abstractNumId w:val="4"/>
  </w:num>
  <w:num w:numId="7" w16cid:durableId="134958891">
    <w:abstractNumId w:val="2"/>
  </w:num>
  <w:num w:numId="8" w16cid:durableId="2048874162">
    <w:abstractNumId w:val="13"/>
  </w:num>
  <w:num w:numId="9" w16cid:durableId="1683580907">
    <w:abstractNumId w:val="1"/>
  </w:num>
  <w:num w:numId="10" w16cid:durableId="1273247844">
    <w:abstractNumId w:val="5"/>
  </w:num>
  <w:num w:numId="11" w16cid:durableId="1980841958">
    <w:abstractNumId w:val="0"/>
  </w:num>
  <w:num w:numId="12" w16cid:durableId="748161667">
    <w:abstractNumId w:val="12"/>
  </w:num>
  <w:num w:numId="13" w16cid:durableId="544410713">
    <w:abstractNumId w:val="10"/>
  </w:num>
  <w:num w:numId="14" w16cid:durableId="944574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19"/>
    <w:rsid w:val="00005A8F"/>
    <w:rsid w:val="00071492"/>
    <w:rsid w:val="000745DC"/>
    <w:rsid w:val="00075501"/>
    <w:rsid w:val="00123D48"/>
    <w:rsid w:val="0015750A"/>
    <w:rsid w:val="001633DA"/>
    <w:rsid w:val="001729A6"/>
    <w:rsid w:val="00187F83"/>
    <w:rsid w:val="002524AF"/>
    <w:rsid w:val="002820BE"/>
    <w:rsid w:val="00300438"/>
    <w:rsid w:val="00302C34"/>
    <w:rsid w:val="00341823"/>
    <w:rsid w:val="003F5098"/>
    <w:rsid w:val="00440E0A"/>
    <w:rsid w:val="00467FF6"/>
    <w:rsid w:val="00496F0A"/>
    <w:rsid w:val="004C0E5B"/>
    <w:rsid w:val="00524BC2"/>
    <w:rsid w:val="00541D7B"/>
    <w:rsid w:val="00555FE5"/>
    <w:rsid w:val="005670EC"/>
    <w:rsid w:val="00573914"/>
    <w:rsid w:val="006A715C"/>
    <w:rsid w:val="006B706F"/>
    <w:rsid w:val="006F593C"/>
    <w:rsid w:val="007A48A3"/>
    <w:rsid w:val="00805AE1"/>
    <w:rsid w:val="008447B4"/>
    <w:rsid w:val="0089157E"/>
    <w:rsid w:val="008B6306"/>
    <w:rsid w:val="00923BC6"/>
    <w:rsid w:val="0096419A"/>
    <w:rsid w:val="00983260"/>
    <w:rsid w:val="009A5019"/>
    <w:rsid w:val="009C3C46"/>
    <w:rsid w:val="009D7986"/>
    <w:rsid w:val="00A01C41"/>
    <w:rsid w:val="00A51583"/>
    <w:rsid w:val="00A62477"/>
    <w:rsid w:val="00AA0551"/>
    <w:rsid w:val="00AC0565"/>
    <w:rsid w:val="00AC56D8"/>
    <w:rsid w:val="00AD0C3A"/>
    <w:rsid w:val="00AF7983"/>
    <w:rsid w:val="00B852CB"/>
    <w:rsid w:val="00BB6AF2"/>
    <w:rsid w:val="00CB4F35"/>
    <w:rsid w:val="00CE62CC"/>
    <w:rsid w:val="00D17411"/>
    <w:rsid w:val="00D452C0"/>
    <w:rsid w:val="00D650FF"/>
    <w:rsid w:val="00DB35B0"/>
    <w:rsid w:val="00DD62D6"/>
    <w:rsid w:val="00E04B18"/>
    <w:rsid w:val="00E076BD"/>
    <w:rsid w:val="00E27578"/>
    <w:rsid w:val="00E8508F"/>
    <w:rsid w:val="00E91E4B"/>
    <w:rsid w:val="00EA78F7"/>
    <w:rsid w:val="00EB2F19"/>
    <w:rsid w:val="00ED2ED9"/>
    <w:rsid w:val="00F366F9"/>
    <w:rsid w:val="00F664FE"/>
    <w:rsid w:val="00F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A983"/>
  <w15:chartTrackingRefBased/>
  <w15:docId w15:val="{BBE5FD30-D36E-4655-8139-B44F9C2C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2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2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2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2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2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2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2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2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2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2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2F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2F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2F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2F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2F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2F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2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2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2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2F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2F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2F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2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2F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2F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1C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2842</Words>
  <Characters>15349</Characters>
  <Application>Microsoft Office Word</Application>
  <DocSecurity>0</DocSecurity>
  <Lines>127</Lines>
  <Paragraphs>36</Paragraphs>
  <ScaleCrop>false</ScaleCrop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| FRANCHINI ADVOCACIA</dc:creator>
  <cp:keywords/>
  <dc:description/>
  <cp:lastModifiedBy>Mirella | FRANCHINI ADVOCACIA</cp:lastModifiedBy>
  <cp:revision>112</cp:revision>
  <dcterms:created xsi:type="dcterms:W3CDTF">2025-06-16T15:44:00Z</dcterms:created>
  <dcterms:modified xsi:type="dcterms:W3CDTF">2025-06-16T23:55:00Z</dcterms:modified>
</cp:coreProperties>
</file>